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540DE4">
        <w:rPr>
          <w:rFonts w:eastAsia="Times New Roman" w:cs="Times New Roman"/>
          <w:b/>
          <w:bCs/>
          <w:szCs w:val="28"/>
          <w:lang w:val="uk-UA" w:eastAsia="ru-RU"/>
        </w:rPr>
        <w:t xml:space="preserve"> СЬОМ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>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43757D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02.05.2025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1001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E5624F" w:rsidRDefault="00E5624F" w:rsidP="00272B31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E5624F">
        <w:rPr>
          <w:rFonts w:cs="Times New Roman"/>
          <w:b/>
          <w:shd w:val="clear" w:color="auto" w:fill="FFFFFF"/>
          <w:lang w:val="uk-UA"/>
        </w:rPr>
        <w:t>Про участь у експериментальному проєкті</w:t>
      </w:r>
      <w:r w:rsidR="006D5BCB">
        <w:rPr>
          <w:rFonts w:cs="Times New Roman"/>
          <w:b/>
          <w:shd w:val="clear" w:color="auto" w:fill="FFFFFF"/>
          <w:lang w:val="uk-UA"/>
        </w:rPr>
        <w:t xml:space="preserve"> зі</w:t>
      </w:r>
      <w:r w:rsidRPr="00E5624F">
        <w:rPr>
          <w:rFonts w:cs="Times New Roman"/>
          <w:b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</w:t>
      </w:r>
      <w:r w:rsidR="00CF2514">
        <w:rPr>
          <w:rFonts w:cs="Times New Roman"/>
          <w:b/>
          <w:shd w:val="clear" w:color="auto" w:fill="FFFFFF"/>
          <w:lang w:val="uk-UA"/>
        </w:rPr>
        <w:t xml:space="preserve"> Глухівської міської ради </w:t>
      </w:r>
      <w:r w:rsidR="00CF2514" w:rsidRPr="00CF2514">
        <w:rPr>
          <w:rFonts w:cs="Times New Roman"/>
          <w:b/>
          <w:shd w:val="clear" w:color="auto" w:fill="FFFFFF"/>
          <w:lang w:val="uk-UA"/>
        </w:rPr>
        <w:t>Сумської області</w:t>
      </w:r>
      <w:r w:rsidR="00CF2514">
        <w:rPr>
          <w:rFonts w:cs="Times New Roman"/>
          <w:b/>
          <w:shd w:val="clear" w:color="auto" w:fill="FFFFFF"/>
          <w:lang w:val="uk-UA"/>
        </w:rPr>
        <w:t xml:space="preserve"> та </w:t>
      </w:r>
      <w:r w:rsidR="00CF2514" w:rsidRPr="00CF2514">
        <w:rPr>
          <w:rFonts w:cs="Times New Roman"/>
          <w:b/>
          <w:shd w:val="clear" w:color="auto" w:fill="FFFFFF"/>
          <w:lang w:val="uk-UA"/>
        </w:rPr>
        <w:t>Маневицької селищної ради Камінь-Каширського району Волинської області</w:t>
      </w:r>
      <w:r w:rsidRPr="00CF2514">
        <w:rPr>
          <w:rFonts w:cs="Times New Roman"/>
          <w:b/>
          <w:shd w:val="clear" w:color="auto" w:fill="FFFFFF"/>
          <w:lang w:val="uk-UA"/>
        </w:rPr>
        <w:t xml:space="preserve"> </w:t>
      </w:r>
      <w:r w:rsidRPr="00E5624F">
        <w:rPr>
          <w:rFonts w:cs="Times New Roman"/>
          <w:b/>
          <w:shd w:val="clear" w:color="auto" w:fill="FFFFFF"/>
          <w:lang w:val="uk-UA"/>
        </w:rPr>
        <w:t>задля зміцнення єдності та стійкості у подоланні наслідків збройної агресії російської федерації проти України</w:t>
      </w:r>
    </w:p>
    <w:p w:rsidR="00E5624F" w:rsidRPr="00E5624F" w:rsidRDefault="00E5624F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проєкту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проєкті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Маневицькою селищною радою </w:t>
      </w:r>
      <w:r w:rsidR="003C0F3A">
        <w:rPr>
          <w:rFonts w:cs="Times New Roman"/>
          <w:shd w:val="clear" w:color="auto" w:fill="FFFFFF"/>
          <w:lang w:val="uk-UA"/>
        </w:rPr>
        <w:t>Камінь-Каширського району Волин</w:t>
      </w:r>
      <w:r w:rsidR="003C0F3A" w:rsidRPr="00046AC7">
        <w:rPr>
          <w:rFonts w:cs="Times New Roman"/>
          <w:shd w:val="clear" w:color="auto" w:fill="FFFFFF"/>
          <w:lang w:val="uk-UA"/>
        </w:rPr>
        <w:t>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 w:rsidR="0043757D">
        <w:rPr>
          <w:rFonts w:eastAsia="Calibri"/>
          <w:color w:val="000000"/>
          <w:szCs w:val="26"/>
          <w:shd w:val="clear" w:color="auto" w:fill="FFFFFF"/>
          <w:lang w:val="uk-UA"/>
        </w:rPr>
        <w:t>02.05.2025</w:t>
      </w:r>
      <w:bookmarkStart w:id="0" w:name="_GoBack"/>
      <w:bookmarkEnd w:id="0"/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 w:rsidR="0043757D">
        <w:rPr>
          <w:rFonts w:eastAsia="Calibri"/>
          <w:color w:val="000000"/>
          <w:szCs w:val="26"/>
          <w:shd w:val="clear" w:color="auto" w:fill="FFFFFF"/>
          <w:lang w:val="uk-UA"/>
        </w:rPr>
        <w:t>1001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BB34FD" w:rsidRDefault="009861F9" w:rsidP="009861F9">
      <w:pPr>
        <w:pStyle w:val="a7"/>
        <w:jc w:val="left"/>
        <w:rPr>
          <w:b w:val="0"/>
          <w:noProof/>
          <w:szCs w:val="28"/>
          <w:lang w:val="ru-RU"/>
        </w:rPr>
      </w:pPr>
      <w:r>
        <w:rPr>
          <w:noProof/>
        </w:rPr>
        <w:t xml:space="preserve">  </w:t>
      </w:r>
      <w:r>
        <w:rPr>
          <w:noProof/>
          <w:lang w:val="ru-RU" w:eastAsia="ru-RU"/>
        </w:rPr>
        <w:drawing>
          <wp:inline distT="0" distB="0" distL="0" distR="0" wp14:anchorId="017F6687" wp14:editId="0F8CEDC3">
            <wp:extent cx="1916590" cy="1836420"/>
            <wp:effectExtent l="0" t="0" r="7620" b="0"/>
            <wp:docPr id="3" name="Рисунок 3" descr="D:\2025\Герб Маневич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5\Герб Маневич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63" cy="186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Pr="00294CCE">
        <w:rPr>
          <w:noProof/>
        </w:rPr>
        <w:t xml:space="preserve"> </w:t>
      </w:r>
      <w:r>
        <w:rPr>
          <w:noProof/>
        </w:rPr>
        <w:t xml:space="preserve">                                        </w:t>
      </w:r>
      <w:r>
        <w:rPr>
          <w:noProof/>
          <w:lang w:val="ru-RU" w:eastAsia="ru-RU"/>
        </w:rPr>
        <w:drawing>
          <wp:inline distT="0" distB="0" distL="0" distR="0" wp14:anchorId="2C8A0578" wp14:editId="46009157">
            <wp:extent cx="1289538" cy="1676400"/>
            <wp:effectExtent l="0" t="0" r="6350" b="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92" cy="16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>МЕМОРАНДУМ</w:t>
      </w:r>
      <w:r w:rsidRPr="007A5A80">
        <w:rPr>
          <w:b w:val="0"/>
          <w:noProof/>
          <w:szCs w:val="28"/>
          <w:lang w:val="ru-RU"/>
        </w:rPr>
        <w:t xml:space="preserve"> </w:t>
      </w:r>
      <w:r w:rsidRPr="007A5A80">
        <w:rPr>
          <w:b w:val="0"/>
          <w:noProof/>
          <w:szCs w:val="28"/>
          <w:lang w:val="ru-RU"/>
        </w:rPr>
        <w:br/>
        <w:t xml:space="preserve"> про співробітництво </w:t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 xml:space="preserve">Маневицької селищної ради </w:t>
      </w:r>
      <w:r w:rsidRPr="00BB34FD">
        <w:rPr>
          <w:b w:val="0"/>
          <w:noProof/>
          <w:szCs w:val="28"/>
        </w:rPr>
        <w:t>Камінь-Каширського району Волинської області</w:t>
      </w:r>
      <w:r w:rsidRPr="007A5A80">
        <w:rPr>
          <w:b w:val="0"/>
          <w:noProof/>
          <w:szCs w:val="28"/>
          <w:lang w:val="ru-RU"/>
        </w:rPr>
        <w:t xml:space="preserve"> </w:t>
      </w:r>
      <w:r>
        <w:rPr>
          <w:b w:val="0"/>
          <w:noProof/>
          <w:szCs w:val="28"/>
          <w:lang w:val="ru-RU"/>
        </w:rPr>
        <w:t xml:space="preserve">та </w:t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0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806F8B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>
              <w:rPr>
                <w:noProof/>
                <w:szCs w:val="28"/>
              </w:rPr>
              <w:t xml:space="preserve">квітня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Default="009861F9" w:rsidP="009861F9">
      <w:pPr>
        <w:ind w:left="-2" w:firstLine="722"/>
        <w:jc w:val="both"/>
        <w:rPr>
          <w:noProof/>
          <w:szCs w:val="28"/>
        </w:rPr>
      </w:pPr>
      <w:r>
        <w:rPr>
          <w:noProof/>
          <w:szCs w:val="28"/>
        </w:rPr>
        <w:t xml:space="preserve">Маневицька селищна рада Камінь-Каширського району Волинської області </w:t>
      </w:r>
      <w:r w:rsidRPr="0012211A">
        <w:rPr>
          <w:noProof/>
          <w:szCs w:val="28"/>
        </w:rPr>
        <w:t xml:space="preserve">в особі </w:t>
      </w:r>
      <w:r>
        <w:rPr>
          <w:noProof/>
          <w:szCs w:val="28"/>
        </w:rPr>
        <w:t>селищного</w:t>
      </w:r>
      <w:r w:rsidRPr="0012211A">
        <w:rPr>
          <w:noProof/>
          <w:szCs w:val="28"/>
        </w:rPr>
        <w:t xml:space="preserve"> голови </w:t>
      </w:r>
      <w:r>
        <w:rPr>
          <w:noProof/>
          <w:szCs w:val="28"/>
        </w:rPr>
        <w:t>Гаврилюка Олександра Оксентійовича</w:t>
      </w:r>
      <w:r w:rsidRPr="0012211A">
        <w:rPr>
          <w:noProof/>
          <w:szCs w:val="28"/>
        </w:rPr>
        <w:t xml:space="preserve">, що надалі іменується </w:t>
      </w:r>
      <w:r>
        <w:rPr>
          <w:noProof/>
          <w:szCs w:val="28"/>
        </w:rPr>
        <w:t>«</w:t>
      </w:r>
      <w:r w:rsidRPr="0012211A">
        <w:rPr>
          <w:noProof/>
          <w:szCs w:val="28"/>
        </w:rPr>
        <w:t xml:space="preserve">партнерська </w:t>
      </w:r>
      <w:r>
        <w:rPr>
          <w:noProof/>
          <w:szCs w:val="28"/>
        </w:rPr>
        <w:t>громада»</w:t>
      </w:r>
      <w:r w:rsidRPr="0012211A">
        <w:rPr>
          <w:noProof/>
          <w:szCs w:val="28"/>
        </w:rPr>
        <w:t xml:space="preserve">, та Глухівська </w:t>
      </w:r>
      <w:r>
        <w:rPr>
          <w:noProof/>
          <w:szCs w:val="28"/>
        </w:rPr>
        <w:t xml:space="preserve">міська рада </w:t>
      </w:r>
      <w:r w:rsidRPr="0012211A">
        <w:rPr>
          <w:noProof/>
          <w:szCs w:val="28"/>
        </w:rPr>
        <w:t xml:space="preserve"> </w:t>
      </w:r>
      <w:r>
        <w:rPr>
          <w:noProof/>
          <w:szCs w:val="28"/>
        </w:rPr>
        <w:t xml:space="preserve"> </w:t>
      </w:r>
      <w:r w:rsidRPr="0012211A">
        <w:rPr>
          <w:noProof/>
          <w:szCs w:val="28"/>
        </w:rPr>
        <w:t>Сумської області в особі міського гол</w:t>
      </w:r>
      <w:r>
        <w:rPr>
          <w:noProof/>
          <w:szCs w:val="28"/>
        </w:rPr>
        <w:t>о</w:t>
      </w:r>
      <w:r w:rsidRPr="0012211A">
        <w:rPr>
          <w:noProof/>
          <w:szCs w:val="28"/>
        </w:rPr>
        <w:t>ви Вайло Надії Олексіївни</w:t>
      </w:r>
      <w:r>
        <w:rPr>
          <w:noProof/>
          <w:szCs w:val="28"/>
        </w:rPr>
        <w:t xml:space="preserve">, </w:t>
      </w:r>
      <w:r w:rsidRPr="0012211A">
        <w:rPr>
          <w:noProof/>
          <w:szCs w:val="28"/>
        </w:rPr>
        <w:t xml:space="preserve">що надалі іменується </w:t>
      </w:r>
      <w:r>
        <w:rPr>
          <w:noProof/>
          <w:szCs w:val="28"/>
        </w:rPr>
        <w:t>«громада-форпост»</w:t>
      </w:r>
      <w:r w:rsidRPr="0012211A">
        <w:rPr>
          <w:noProof/>
          <w:szCs w:val="28"/>
        </w:rPr>
        <w:t>, а разом - сторони, уклали цей меморандум про таке:</w:t>
      </w:r>
    </w:p>
    <w:p w:rsidR="009861F9" w:rsidRPr="0012211A" w:rsidRDefault="009861F9" w:rsidP="009861F9">
      <w:pPr>
        <w:ind w:hanging="6"/>
        <w:jc w:val="both"/>
        <w:rPr>
          <w:noProof/>
          <w:sz w:val="20"/>
        </w:rPr>
      </w:pPr>
    </w:p>
    <w:p w:rsidR="009861F9" w:rsidRPr="005D74CC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5D74CC">
        <w:rPr>
          <w:noProof/>
          <w:szCs w:val="28"/>
        </w:rPr>
        <w:t>1. Загальні положення</w:t>
      </w:r>
    </w:p>
    <w:p w:rsidR="009861F9" w:rsidRPr="002C54A4" w:rsidRDefault="009861F9" w:rsidP="009861F9">
      <w:pPr>
        <w:ind w:firstLine="567"/>
        <w:jc w:val="both"/>
        <w:rPr>
          <w:noProof/>
          <w:szCs w:val="28"/>
        </w:rPr>
      </w:pPr>
      <w:r w:rsidRPr="005D74CC">
        <w:rPr>
          <w:noProof/>
          <w:szCs w:val="28"/>
        </w:rPr>
        <w:t xml:space="preserve">Метою цього меморандуму є налагодження співпраці між </w:t>
      </w:r>
      <w:r w:rsidRPr="002C54A4">
        <w:rPr>
          <w:noProof/>
          <w:szCs w:val="28"/>
        </w:rPr>
        <w:t>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2C54A4" w:rsidRDefault="009861F9" w:rsidP="009861F9">
      <w:pPr>
        <w:ind w:left="-2" w:firstLine="569"/>
        <w:jc w:val="both"/>
        <w:rPr>
          <w:noProof/>
          <w:szCs w:val="28"/>
        </w:rPr>
      </w:pPr>
      <w:r w:rsidRPr="002C54A4">
        <w:rPr>
          <w:noProof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</w:p>
    <w:p w:rsidR="009861F9" w:rsidRDefault="009861F9" w:rsidP="009861F9">
      <w:pPr>
        <w:ind w:firstLine="567"/>
        <w:jc w:val="both"/>
        <w:rPr>
          <w:noProof/>
          <w:szCs w:val="28"/>
        </w:rPr>
      </w:pP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>
        <w:rPr>
          <w:noProof/>
          <w:szCs w:val="28"/>
        </w:rPr>
        <w:t xml:space="preserve">___ квітня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релокація суб’єктів господарювання: надання сприяння у переміщенні підприємств із громад-форпостів на територію громади-партнера для збереження їх економічної активності;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сприяння волонтерській діяльності: організація, координація та сприяння волонтерським ініціативам, які спрямовані на підтримку 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створення безпечних умов для дітей, які проживають на територіях громад-форпостів, включно з організацією освітніх, культурних та спортивних заходів, забезпечення їх доступу до освіти, психологічної підтримки, а також облаштування дитячих просторів у місцях тимчасового розміщення;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lastRenderedPageBreak/>
        <w:t xml:space="preserve">допомога у соціалізації: працевлаштування, влаштування дітей до </w:t>
      </w:r>
      <w:r w:rsidRPr="002C54A4">
        <w:rPr>
          <w:shd w:val="clear" w:color="auto" w:fill="FFFFFF"/>
        </w:rPr>
        <w:t>закладів освіти, інформування про інфраструктуру та можливості приймаючої територіальної громади тощо;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2C54A4">
        <w:rPr>
          <w:shd w:val="clear" w:color="auto" w:fill="FFFFFF"/>
        </w:rPr>
        <w:t xml:space="preserve">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</w:t>
      </w:r>
      <w:r w:rsidRPr="006E423E">
        <w:rPr>
          <w:shd w:val="clear" w:color="auto" w:fill="FFFFFF"/>
        </w:rPr>
        <w:t>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надання прямої фінансової допомоги у вигляді міжбюджетних трансфертів у разі перевиконання дохідної частини місцевого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інші форми підтримки, не заборонені законодавством.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>
        <w:rPr>
          <w:noProof/>
          <w:szCs w:val="28"/>
        </w:rPr>
        <w:t>квітня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6E423E" w:rsidTr="00806F8B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Партнерська громада: </w:t>
            </w:r>
            <w:r>
              <w:rPr>
                <w:noProof/>
                <w:szCs w:val="28"/>
              </w:rPr>
              <w:t xml:space="preserve">Маневицька селищна рада Камінь-Каширського </w:t>
            </w:r>
            <w:r w:rsidRPr="006E423E">
              <w:rPr>
                <w:noProof/>
                <w:szCs w:val="28"/>
              </w:rPr>
              <w:t xml:space="preserve">району </w:t>
            </w:r>
            <w:r>
              <w:rPr>
                <w:noProof/>
                <w:szCs w:val="28"/>
              </w:rPr>
              <w:t>Волинської</w:t>
            </w:r>
            <w:r w:rsidRPr="006E423E">
              <w:rPr>
                <w:noProof/>
                <w:szCs w:val="28"/>
              </w:rPr>
              <w:t xml:space="preserve"> області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</w:t>
            </w:r>
            <w:r>
              <w:rPr>
                <w:noProof/>
                <w:szCs w:val="28"/>
              </w:rPr>
              <w:t xml:space="preserve"> 44601 Волинська</w:t>
            </w:r>
            <w:r w:rsidRPr="006E423E">
              <w:rPr>
                <w:noProof/>
                <w:szCs w:val="28"/>
              </w:rPr>
              <w:t xml:space="preserve"> область, </w:t>
            </w:r>
            <w:r>
              <w:rPr>
                <w:noProof/>
                <w:szCs w:val="28"/>
              </w:rPr>
              <w:t>Камінь-Каширський</w:t>
            </w:r>
            <w:r w:rsidRPr="006E423E">
              <w:rPr>
                <w:noProof/>
                <w:szCs w:val="28"/>
              </w:rPr>
              <w:t xml:space="preserve"> район,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Селище Маневичі</w:t>
            </w:r>
            <w:r w:rsidRPr="006E423E">
              <w:rPr>
                <w:noProof/>
                <w:szCs w:val="28"/>
              </w:rPr>
              <w:t xml:space="preserve">,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вул. </w:t>
            </w:r>
            <w:r>
              <w:rPr>
                <w:noProof/>
                <w:szCs w:val="28"/>
              </w:rPr>
              <w:t>Незалежності, 30</w:t>
            </w:r>
            <w:r w:rsidRPr="006E423E">
              <w:rPr>
                <w:noProof/>
                <w:szCs w:val="28"/>
              </w:rPr>
              <w:t xml:space="preserve">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Код згідно з  ЄДРПОУ: </w:t>
            </w:r>
            <w:r w:rsidRPr="00997814">
              <w:rPr>
                <w:noProof/>
                <w:szCs w:val="28"/>
              </w:rPr>
              <w:t>04333193</w:t>
            </w:r>
          </w:p>
          <w:p w:rsidR="009861F9" w:rsidRPr="00997814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997814">
              <w:rPr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21BD7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>тел. (03376)</w:t>
            </w:r>
            <w:r>
              <w:rPr>
                <w:noProof/>
                <w:szCs w:val="28"/>
              </w:rPr>
              <w:t xml:space="preserve"> </w:t>
            </w:r>
            <w:r w:rsidRPr="00721BD7">
              <w:rPr>
                <w:noProof/>
                <w:szCs w:val="28"/>
              </w:rPr>
              <w:t>21233</w:t>
            </w: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 xml:space="preserve">е-пошта: post@mg.gov.ua   </w:t>
            </w:r>
          </w:p>
          <w:p w:rsidR="009861F9" w:rsidRPr="006E423E" w:rsidRDefault="009861F9" w:rsidP="00806F8B">
            <w:pPr>
              <w:ind w:left="-2" w:hanging="2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>Селищний</w:t>
            </w:r>
            <w:r w:rsidRPr="006E423E">
              <w:rPr>
                <w:b/>
                <w:noProof/>
                <w:szCs w:val="28"/>
              </w:rPr>
              <w:t xml:space="preserve"> голова      </w:t>
            </w:r>
          </w:p>
          <w:p w:rsidR="009861F9" w:rsidRPr="006E423E" w:rsidRDefault="009861F9" w:rsidP="00806F8B">
            <w:pPr>
              <w:ind w:left="-2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__________</w:t>
            </w:r>
            <w:r>
              <w:rPr>
                <w:b/>
                <w:noProof/>
                <w:szCs w:val="28"/>
              </w:rPr>
              <w:t>Олександр ГАВРИЛЮК</w:t>
            </w:r>
          </w:p>
          <w:p w:rsidR="009861F9" w:rsidRPr="006E423E" w:rsidRDefault="009861F9" w:rsidP="00806F8B">
            <w:pPr>
              <w:rPr>
                <w:noProof/>
                <w:szCs w:val="28"/>
              </w:rPr>
            </w:pPr>
          </w:p>
          <w:p w:rsidR="009861F9" w:rsidRDefault="009861F9" w:rsidP="00806F8B">
            <w:pPr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rPr>
                <w:b/>
                <w:noProof/>
                <w:szCs w:val="28"/>
                <w:lang w:val="uk-UA"/>
              </w:rPr>
            </w:pPr>
            <w:r w:rsidRPr="00822C06">
              <w:rPr>
                <w:b/>
                <w:noProof/>
                <w:szCs w:val="28"/>
                <w:lang w:val="uk-UA"/>
              </w:rPr>
              <w:t xml:space="preserve">Міський голова                                               </w:t>
            </w: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Громада-форпост: Глухівська міська рада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Сумської області</w:t>
            </w: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адреса:41400, Сумська область, м.Глухів, вул.Шевченка,6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Код згідно з ЄДРПОУ: 36235340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тел.(05444)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2-21-15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е-пошта:</w:t>
            </w:r>
            <w:r w:rsidRPr="006E423E">
              <w:rPr>
                <w:noProof/>
                <w:szCs w:val="28"/>
                <w:lang w:val="en-US"/>
              </w:rPr>
              <w:t>glhgor</w:t>
            </w:r>
            <w:r w:rsidRPr="006E423E">
              <w:rPr>
                <w:noProof/>
                <w:szCs w:val="28"/>
              </w:rPr>
              <w:t>_@</w:t>
            </w:r>
            <w:r w:rsidRPr="006E423E">
              <w:rPr>
                <w:noProof/>
                <w:szCs w:val="28"/>
                <w:lang w:val="en-US"/>
              </w:rPr>
              <w:t>ukr</w:t>
            </w:r>
            <w:r w:rsidRPr="006E423E">
              <w:rPr>
                <w:noProof/>
                <w:szCs w:val="28"/>
              </w:rPr>
              <w:t>.</w:t>
            </w:r>
            <w:r w:rsidRPr="006E423E">
              <w:rPr>
                <w:noProof/>
                <w:szCs w:val="28"/>
                <w:lang w:val="en-US"/>
              </w:rPr>
              <w:t>net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rPr>
                <w:b/>
                <w:noProof/>
                <w:szCs w:val="28"/>
              </w:rPr>
            </w:pPr>
            <w:r w:rsidRPr="006E423E">
              <w:rPr>
                <w:b/>
                <w:noProof/>
                <w:szCs w:val="28"/>
              </w:rPr>
              <w:t xml:space="preserve">Міський голова  </w:t>
            </w:r>
          </w:p>
          <w:p w:rsidR="009861F9" w:rsidRPr="006E423E" w:rsidRDefault="009861F9" w:rsidP="00806F8B">
            <w:pPr>
              <w:ind w:left="-2" w:right="141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_____________    </w:t>
            </w:r>
            <w:r w:rsidRPr="006E423E">
              <w:rPr>
                <w:b/>
                <w:noProof/>
                <w:szCs w:val="28"/>
              </w:rPr>
              <w:t>Надія ВАЙЛО</w:t>
            </w:r>
            <w:r w:rsidRPr="006E423E">
              <w:rPr>
                <w:noProof/>
                <w:szCs w:val="28"/>
              </w:rPr>
              <w:t xml:space="preserve">  </w:t>
            </w:r>
          </w:p>
          <w:p w:rsidR="009861F9" w:rsidRDefault="009861F9" w:rsidP="00806F8B">
            <w:pPr>
              <w:ind w:left="-2" w:right="141" w:hanging="2"/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ind w:left="-2" w:right="141" w:hanging="2"/>
              <w:rPr>
                <w:noProof/>
                <w:sz w:val="14"/>
                <w:szCs w:val="28"/>
              </w:rPr>
            </w:pPr>
          </w:p>
          <w:p w:rsidR="00822C06" w:rsidRPr="00822C06" w:rsidRDefault="00822C06" w:rsidP="00806F8B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>
              <w:rPr>
                <w:noProof/>
                <w:szCs w:val="28"/>
                <w:lang w:val="uk-UA"/>
              </w:rPr>
              <w:t xml:space="preserve">                </w:t>
            </w:r>
            <w:r w:rsidRPr="00822C06">
              <w:rPr>
                <w:b/>
                <w:noProof/>
                <w:szCs w:val="28"/>
                <w:lang w:val="uk-UA"/>
              </w:rPr>
              <w:t>Надія ВАЙЛО</w:t>
            </w:r>
          </w:p>
        </w:tc>
      </w:tr>
    </w:tbl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84327"/>
    <w:rsid w:val="00396B5C"/>
    <w:rsid w:val="003B0A16"/>
    <w:rsid w:val="003C0F3A"/>
    <w:rsid w:val="0040379C"/>
    <w:rsid w:val="00407BC4"/>
    <w:rsid w:val="00410BDD"/>
    <w:rsid w:val="004171CE"/>
    <w:rsid w:val="0043757D"/>
    <w:rsid w:val="00461F46"/>
    <w:rsid w:val="004D2DAB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13AC5"/>
    <w:rsid w:val="0071491F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A2036"/>
    <w:rsid w:val="008E00F9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84911"/>
    <w:rsid w:val="00CA3A2D"/>
    <w:rsid w:val="00CF2514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ECD11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6501</Words>
  <Characters>3707</Characters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2025-04-24T06:51:00Z</cp:lastPrinted>
  <dcterms:created xsi:type="dcterms:W3CDTF">2025-04-03T11:04:00Z</dcterms:created>
  <dcterms:modified xsi:type="dcterms:W3CDTF">2025-05-06T07:14:00Z</dcterms:modified>
</cp:coreProperties>
</file>